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10" w:line="219" w:lineRule="auto"/>
        <w:ind w:firstLine="154"/>
        <w:rPr>
          <w:rFonts w:ascii="宋体" w:hAnsi="宋体" w:eastAsia="宋体" w:cs="宋体"/>
          <w:spacing w:val="-5"/>
          <w:sz w:val="34"/>
          <w:szCs w:val="34"/>
        </w:rPr>
      </w:pPr>
      <w:r>
        <w:rPr>
          <w:rFonts w:ascii="宋体" w:hAnsi="宋体" w:eastAsia="宋体" w:cs="宋体"/>
          <w:spacing w:val="-5"/>
          <w:sz w:val="34"/>
          <w:szCs w:val="34"/>
        </w:rPr>
        <w:t>附件1</w:t>
      </w:r>
    </w:p>
    <w:p>
      <w:pPr>
        <w:spacing w:before="110" w:line="219" w:lineRule="auto"/>
        <w:ind w:firstLine="154"/>
        <w:rPr>
          <w:rFonts w:ascii="宋体" w:hAnsi="宋体" w:eastAsia="宋体" w:cs="宋体"/>
          <w:sz w:val="34"/>
          <w:szCs w:val="34"/>
        </w:rPr>
      </w:pPr>
    </w:p>
    <w:p>
      <w:pPr>
        <w:rPr>
          <w:sz w:val="36"/>
          <w:szCs w:val="36"/>
        </w:rPr>
      </w:pPr>
      <w:r>
        <w:rPr>
          <w:sz w:val="36"/>
          <w:szCs w:val="36"/>
        </w:rPr>
        <w:t>寿县中医院202</w:t>
      </w:r>
      <w:r>
        <w:rPr>
          <w:rFonts w:hint="eastAsia"/>
          <w:sz w:val="36"/>
          <w:szCs w:val="36"/>
          <w:lang w:val="en-US" w:eastAsia="zh-CN"/>
        </w:rPr>
        <w:t>4</w:t>
      </w:r>
      <w:r>
        <w:rPr>
          <w:sz w:val="36"/>
          <w:szCs w:val="36"/>
        </w:rPr>
        <w:t>年第</w:t>
      </w:r>
      <w:r>
        <w:rPr>
          <w:rFonts w:hint="eastAsia"/>
          <w:sz w:val="36"/>
          <w:szCs w:val="36"/>
          <w:lang w:val="en-US" w:eastAsia="zh-CN"/>
        </w:rPr>
        <w:t>二</w:t>
      </w:r>
      <w:r>
        <w:rPr>
          <w:sz w:val="36"/>
          <w:szCs w:val="36"/>
        </w:rPr>
        <w:t>季度医疗服务信息社会公开内容</w:t>
      </w:r>
    </w:p>
    <w:p>
      <w:pPr>
        <w:spacing w:line="20" w:lineRule="exact"/>
      </w:pPr>
    </w:p>
    <w:tbl>
      <w:tblPr>
        <w:tblStyle w:val="7"/>
        <w:tblW w:w="9214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3"/>
        <w:gridCol w:w="3546"/>
        <w:gridCol w:w="160"/>
        <w:gridCol w:w="1218"/>
        <w:gridCol w:w="57"/>
        <w:gridCol w:w="1134"/>
        <w:gridCol w:w="48"/>
        <w:gridCol w:w="12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182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250" w:line="219" w:lineRule="auto"/>
              <w:ind w:firstLine="40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信息分类</w:t>
            </w:r>
          </w:p>
        </w:tc>
        <w:tc>
          <w:tcPr>
            <w:tcW w:w="4981" w:type="dxa"/>
            <w:gridSpan w:val="4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251" w:line="220" w:lineRule="auto"/>
              <w:ind w:firstLine="1992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1"/>
                <w:sz w:val="25"/>
                <w:szCs w:val="25"/>
              </w:rPr>
              <w:t>指标项目</w:t>
            </w:r>
          </w:p>
        </w:tc>
        <w:tc>
          <w:tcPr>
            <w:tcW w:w="1182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248" w:line="219" w:lineRule="auto"/>
              <w:ind w:firstLine="117"/>
              <w:jc w:val="center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本期数值</w:t>
            </w:r>
          </w:p>
        </w:tc>
        <w:tc>
          <w:tcPr>
            <w:tcW w:w="122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250" w:line="219" w:lineRule="auto"/>
              <w:ind w:firstLine="88"/>
              <w:jc w:val="center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上期数值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restart"/>
            <w:tcBorders>
              <w:top w:val="single" w:color="000000" w:sz="2" w:space="0"/>
              <w:bottom w:val="nil"/>
            </w:tcBorders>
          </w:tcPr>
          <w:p>
            <w:pPr>
              <w:spacing w:line="245" w:lineRule="auto"/>
            </w:pPr>
          </w:p>
          <w:p>
            <w:pPr>
              <w:spacing w:line="245" w:lineRule="auto"/>
            </w:pPr>
          </w:p>
          <w:p>
            <w:pPr>
              <w:spacing w:line="246" w:lineRule="auto"/>
            </w:pPr>
          </w:p>
          <w:p>
            <w:pPr>
              <w:spacing w:line="246" w:lineRule="auto"/>
            </w:pPr>
          </w:p>
          <w:p>
            <w:pPr>
              <w:spacing w:line="246" w:lineRule="auto"/>
            </w:pPr>
          </w:p>
          <w:p>
            <w:pPr>
              <w:spacing w:line="246" w:lineRule="auto"/>
            </w:pPr>
          </w:p>
          <w:p>
            <w:pPr>
              <w:spacing w:before="81" w:line="219" w:lineRule="auto"/>
              <w:ind w:firstLine="11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"/>
                <w:sz w:val="25"/>
                <w:szCs w:val="25"/>
              </w:rPr>
              <w:t>1.基本情况</w:t>
            </w:r>
          </w:p>
        </w:tc>
        <w:tc>
          <w:tcPr>
            <w:tcW w:w="3546" w:type="dxa"/>
            <w:vMerge w:val="restart"/>
            <w:tcBorders>
              <w:top w:val="single" w:color="000000" w:sz="2" w:space="0"/>
              <w:bottom w:val="nil"/>
            </w:tcBorders>
          </w:tcPr>
          <w:p>
            <w:pPr>
              <w:spacing w:line="252" w:lineRule="auto"/>
            </w:pPr>
          </w:p>
          <w:p>
            <w:pPr>
              <w:spacing w:line="253" w:lineRule="auto"/>
            </w:pPr>
          </w:p>
          <w:p>
            <w:pPr>
              <w:spacing w:line="253" w:lineRule="auto"/>
            </w:pPr>
          </w:p>
          <w:p>
            <w:pPr>
              <w:spacing w:before="82" w:line="219" w:lineRule="auto"/>
              <w:ind w:firstLine="11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z w:val="25"/>
                <w:szCs w:val="25"/>
              </w:rPr>
              <w:t>1.1重点(特色)专科</w:t>
            </w:r>
          </w:p>
          <w:p>
            <w:pPr>
              <w:spacing w:before="82" w:line="219" w:lineRule="auto"/>
              <w:rPr>
                <w:rFonts w:ascii="宋体" w:hAnsi="宋体" w:eastAsia="宋体" w:cs="宋体"/>
                <w:sz w:val="25"/>
                <w:szCs w:val="25"/>
              </w:rPr>
            </w:pPr>
          </w:p>
        </w:tc>
        <w:tc>
          <w:tcPr>
            <w:tcW w:w="1435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7" w:line="220" w:lineRule="auto"/>
              <w:ind w:firstLine="30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5"/>
                <w:sz w:val="25"/>
                <w:szCs w:val="25"/>
              </w:rPr>
              <w:t>国家级</w:t>
            </w:r>
          </w:p>
        </w:tc>
        <w:tc>
          <w:tcPr>
            <w:tcW w:w="1182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22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3546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1435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26" w:line="219" w:lineRule="auto"/>
              <w:ind w:firstLine="43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7"/>
                <w:sz w:val="25"/>
                <w:szCs w:val="25"/>
              </w:rPr>
              <w:t>省级</w:t>
            </w:r>
          </w:p>
        </w:tc>
        <w:tc>
          <w:tcPr>
            <w:tcW w:w="1182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jc w:val="center"/>
            </w:pPr>
          </w:p>
          <w:p>
            <w:pPr>
              <w:ind w:firstLine="210" w:firstLineChars="100"/>
              <w:jc w:val="center"/>
            </w:pPr>
            <w:r>
              <w:t>骨伤科</w:t>
            </w:r>
          </w:p>
        </w:tc>
        <w:tc>
          <w:tcPr>
            <w:tcW w:w="122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骨伤科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3546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1435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7" w:line="219" w:lineRule="auto"/>
              <w:ind w:firstLine="43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7"/>
                <w:sz w:val="25"/>
                <w:szCs w:val="25"/>
              </w:rPr>
              <w:t>市级</w:t>
            </w:r>
          </w:p>
        </w:tc>
        <w:tc>
          <w:tcPr>
            <w:tcW w:w="1182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22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3546" w:type="dxa"/>
            <w:vMerge w:val="continue"/>
            <w:tcBorders>
              <w:top w:val="nil"/>
              <w:bottom w:val="single" w:color="000000" w:sz="2" w:space="0"/>
            </w:tcBorders>
          </w:tcPr>
          <w:p/>
        </w:tc>
        <w:tc>
          <w:tcPr>
            <w:tcW w:w="1435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8" w:line="220" w:lineRule="auto"/>
              <w:ind w:firstLine="43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7"/>
                <w:sz w:val="25"/>
                <w:szCs w:val="25"/>
              </w:rPr>
              <w:t>院级</w:t>
            </w:r>
          </w:p>
        </w:tc>
        <w:tc>
          <w:tcPr>
            <w:tcW w:w="1182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22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4981" w:type="dxa"/>
            <w:gridSpan w:val="4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27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z w:val="25"/>
                <w:szCs w:val="25"/>
              </w:rPr>
              <w:t>1.2"江淮名医"人数</w:t>
            </w:r>
          </w:p>
        </w:tc>
        <w:tc>
          <w:tcPr>
            <w:tcW w:w="1182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22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4981" w:type="dxa"/>
            <w:gridSpan w:val="4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7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"/>
                <w:sz w:val="25"/>
                <w:szCs w:val="25"/>
              </w:rPr>
              <w:t>1.3</w:t>
            </w:r>
            <w:r>
              <w:rPr>
                <w:rFonts w:hint="eastAsia" w:ascii="宋体" w:hAnsi="宋体" w:eastAsia="宋体" w:cs="宋体"/>
                <w:spacing w:val="1"/>
                <w:sz w:val="25"/>
                <w:szCs w:val="25"/>
              </w:rPr>
              <w:t>床医比</w:t>
            </w:r>
          </w:p>
        </w:tc>
        <w:tc>
          <w:tcPr>
            <w:tcW w:w="1182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1：0.331</w:t>
            </w:r>
          </w:p>
        </w:tc>
        <w:tc>
          <w:tcPr>
            <w:tcW w:w="12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1：0.331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continue"/>
            <w:tcBorders>
              <w:top w:val="nil"/>
              <w:bottom w:val="single" w:color="000000" w:sz="2" w:space="0"/>
            </w:tcBorders>
          </w:tcPr>
          <w:p/>
        </w:tc>
        <w:tc>
          <w:tcPr>
            <w:tcW w:w="4981" w:type="dxa"/>
            <w:gridSpan w:val="4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8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"/>
                <w:sz w:val="25"/>
                <w:szCs w:val="25"/>
              </w:rPr>
              <w:t>1.4</w:t>
            </w:r>
            <w:r>
              <w:rPr>
                <w:rFonts w:hint="eastAsia" w:ascii="宋体" w:hAnsi="宋体" w:eastAsia="宋体" w:cs="宋体"/>
                <w:spacing w:val="1"/>
                <w:sz w:val="25"/>
                <w:szCs w:val="25"/>
              </w:rPr>
              <w:t>床护比</w:t>
            </w:r>
          </w:p>
        </w:tc>
        <w:tc>
          <w:tcPr>
            <w:tcW w:w="1182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1：0.56</w:t>
            </w:r>
          </w:p>
        </w:tc>
        <w:tc>
          <w:tcPr>
            <w:tcW w:w="12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1：0.56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restart"/>
            <w:tcBorders>
              <w:top w:val="single" w:color="000000" w:sz="2" w:space="0"/>
              <w:bottom w:val="nil"/>
            </w:tcBorders>
          </w:tcPr>
          <w:p>
            <w:pPr>
              <w:spacing w:line="250" w:lineRule="auto"/>
            </w:pPr>
          </w:p>
          <w:p>
            <w:pPr>
              <w:spacing w:line="250" w:lineRule="auto"/>
            </w:pPr>
          </w:p>
          <w:p>
            <w:pPr>
              <w:spacing w:line="250" w:lineRule="auto"/>
            </w:pPr>
          </w:p>
          <w:p>
            <w:pPr>
              <w:spacing w:line="251" w:lineRule="auto"/>
            </w:pPr>
          </w:p>
          <w:p>
            <w:pPr>
              <w:spacing w:before="81" w:line="220" w:lineRule="auto"/>
              <w:ind w:firstLine="11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5"/>
                <w:sz w:val="25"/>
                <w:szCs w:val="25"/>
              </w:rPr>
              <w:t>2.</w:t>
            </w:r>
            <w:r>
              <w:rPr>
                <w:rFonts w:hint="eastAsia" w:ascii="宋体" w:hAnsi="宋体" w:eastAsia="宋体" w:cs="宋体"/>
                <w:spacing w:val="5"/>
                <w:sz w:val="25"/>
                <w:szCs w:val="25"/>
              </w:rPr>
              <w:t>医疗费用</w:t>
            </w:r>
          </w:p>
        </w:tc>
        <w:tc>
          <w:tcPr>
            <w:tcW w:w="4981" w:type="dxa"/>
            <w:gridSpan w:val="4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9" w:line="220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2.1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门诊患者人均医疗费用</w:t>
            </w: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(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元</w:t>
            </w: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)</w:t>
            </w:r>
          </w:p>
        </w:tc>
        <w:tc>
          <w:tcPr>
            <w:tcW w:w="1182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ind w:firstLine="210" w:firstLineChars="100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>
            <w:pPr>
              <w:ind w:firstLine="210" w:firstLineChars="100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211.00</w:t>
            </w:r>
          </w:p>
        </w:tc>
        <w:tc>
          <w:tcPr>
            <w:tcW w:w="12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ind w:firstLine="525" w:firstLineChars="250"/>
              <w:rPr>
                <w:rFonts w:hint="eastAsia"/>
                <w:lang w:val="en-US" w:eastAsia="zh-CN"/>
              </w:rPr>
            </w:pPr>
          </w:p>
          <w:p>
            <w:pPr>
              <w:ind w:firstLine="210" w:firstLineChars="100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201.00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4981" w:type="dxa"/>
            <w:gridSpan w:val="4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29" w:line="220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3"/>
                <w:sz w:val="25"/>
                <w:szCs w:val="25"/>
              </w:rPr>
              <w:t>2.2</w:t>
            </w:r>
            <w:r>
              <w:rPr>
                <w:rFonts w:hint="eastAsia" w:ascii="宋体" w:hAnsi="宋体" w:eastAsia="宋体" w:cs="宋体"/>
                <w:spacing w:val="-3"/>
                <w:sz w:val="25"/>
                <w:szCs w:val="25"/>
              </w:rPr>
              <w:t>住院患者人均医疗费用</w:t>
            </w:r>
            <w:r>
              <w:rPr>
                <w:rFonts w:ascii="宋体" w:hAnsi="宋体" w:eastAsia="宋体" w:cs="宋体"/>
                <w:spacing w:val="-3"/>
                <w:sz w:val="25"/>
                <w:szCs w:val="25"/>
              </w:rPr>
              <w:t>(</w:t>
            </w:r>
            <w:r>
              <w:rPr>
                <w:rFonts w:hint="eastAsia" w:ascii="宋体" w:hAnsi="宋体" w:eastAsia="宋体" w:cs="宋体"/>
                <w:spacing w:val="-3"/>
                <w:sz w:val="25"/>
                <w:szCs w:val="25"/>
              </w:rPr>
              <w:t>元</w:t>
            </w:r>
            <w:r>
              <w:rPr>
                <w:rFonts w:ascii="宋体" w:hAnsi="宋体" w:eastAsia="宋体" w:cs="宋体"/>
                <w:spacing w:val="-3"/>
                <w:sz w:val="25"/>
                <w:szCs w:val="25"/>
              </w:rPr>
              <w:t>)</w:t>
            </w:r>
          </w:p>
        </w:tc>
        <w:tc>
          <w:tcPr>
            <w:tcW w:w="1182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jc w:val="center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4499.00</w:t>
            </w:r>
          </w:p>
        </w:tc>
        <w:tc>
          <w:tcPr>
            <w:tcW w:w="12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jc w:val="center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4273.00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7391" w:type="dxa"/>
            <w:gridSpan w:val="7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6" w:line="219" w:lineRule="auto"/>
              <w:ind w:firstLine="81"/>
              <w:jc w:val="center"/>
              <w:rPr>
                <w:rFonts w:ascii="宋体" w:hAnsi="宋体" w:eastAsia="宋体" w:cs="宋体"/>
                <w:sz w:val="25"/>
                <w:szCs w:val="25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3706" w:type="dxa"/>
            <w:gridSpan w:val="2"/>
            <w:vMerge w:val="restart"/>
            <w:tcBorders>
              <w:top w:val="single" w:color="000000" w:sz="2" w:space="0"/>
              <w:bottom w:val="nil"/>
            </w:tcBorders>
          </w:tcPr>
          <w:p>
            <w:pPr>
              <w:spacing w:line="274" w:lineRule="auto"/>
            </w:pPr>
          </w:p>
          <w:p>
            <w:pPr>
              <w:spacing w:before="82" w:line="219" w:lineRule="auto"/>
              <w:ind w:firstLine="11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2.4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基本医保实际报销比例（%）</w:t>
            </w:r>
          </w:p>
        </w:tc>
        <w:tc>
          <w:tcPr>
            <w:tcW w:w="121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9" w:line="219" w:lineRule="auto"/>
              <w:ind w:firstLine="186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hint="eastAsia" w:ascii="宋体" w:hAnsi="宋体" w:eastAsia="宋体" w:cs="宋体"/>
                <w:spacing w:val="3"/>
                <w:sz w:val="25"/>
                <w:szCs w:val="25"/>
              </w:rPr>
              <w:t>城镇职工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76.81</w:t>
            </w:r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76.55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continue"/>
            <w:tcBorders>
              <w:top w:val="nil"/>
              <w:bottom w:val="single" w:color="000000" w:sz="2" w:space="0"/>
            </w:tcBorders>
          </w:tcPr>
          <w:p/>
        </w:tc>
        <w:tc>
          <w:tcPr>
            <w:tcW w:w="3706" w:type="dxa"/>
            <w:gridSpan w:val="2"/>
            <w:vMerge w:val="continue"/>
            <w:tcBorders>
              <w:top w:val="nil"/>
              <w:bottom w:val="single" w:color="000000" w:sz="2" w:space="0"/>
            </w:tcBorders>
          </w:tcPr>
          <w:p/>
        </w:tc>
        <w:tc>
          <w:tcPr>
            <w:tcW w:w="121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9" w:line="219" w:lineRule="auto"/>
              <w:ind w:firstLine="186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hint="eastAsia" w:ascii="宋体" w:hAnsi="宋体" w:eastAsia="宋体" w:cs="宋体"/>
                <w:spacing w:val="3"/>
                <w:sz w:val="25"/>
                <w:szCs w:val="25"/>
              </w:rPr>
              <w:t>城乡居民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68.78</w:t>
            </w:r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68.22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823" w:type="dxa"/>
            <w:vMerge w:val="restart"/>
            <w:tcBorders>
              <w:top w:val="single" w:color="000000" w:sz="2" w:space="0"/>
              <w:bottom w:val="nil"/>
            </w:tcBorders>
          </w:tcPr>
          <w:p>
            <w:pPr>
              <w:spacing w:line="245" w:lineRule="auto"/>
            </w:pPr>
          </w:p>
          <w:p>
            <w:pPr>
              <w:spacing w:line="245" w:lineRule="auto"/>
            </w:pPr>
          </w:p>
          <w:p>
            <w:pPr>
              <w:spacing w:line="246" w:lineRule="auto"/>
            </w:pPr>
          </w:p>
          <w:p>
            <w:pPr>
              <w:spacing w:line="246" w:lineRule="auto"/>
            </w:pPr>
          </w:p>
          <w:p>
            <w:pPr>
              <w:spacing w:line="246" w:lineRule="auto"/>
            </w:pPr>
          </w:p>
          <w:p>
            <w:pPr>
              <w:spacing w:line="246" w:lineRule="auto"/>
            </w:pPr>
          </w:p>
          <w:p>
            <w:pPr>
              <w:spacing w:line="246" w:lineRule="auto"/>
            </w:pPr>
          </w:p>
          <w:p>
            <w:pPr>
              <w:spacing w:line="246" w:lineRule="auto"/>
            </w:pPr>
          </w:p>
          <w:p>
            <w:pPr>
              <w:spacing w:before="82" w:line="220" w:lineRule="auto"/>
              <w:ind w:firstLine="11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"/>
                <w:sz w:val="25"/>
                <w:szCs w:val="25"/>
              </w:rPr>
              <w:t>3.</w:t>
            </w:r>
            <w:r>
              <w:rPr>
                <w:rFonts w:hint="eastAsia" w:ascii="宋体" w:hAnsi="宋体" w:eastAsia="宋体" w:cs="宋体"/>
                <w:spacing w:val="1"/>
                <w:sz w:val="25"/>
                <w:szCs w:val="25"/>
              </w:rPr>
              <w:t>医疗质量</w:t>
            </w:r>
          </w:p>
        </w:tc>
        <w:tc>
          <w:tcPr>
            <w:tcW w:w="4924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9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4"/>
                <w:sz w:val="25"/>
                <w:szCs w:val="25"/>
              </w:rPr>
              <w:t>3.1</w:t>
            </w:r>
            <w:r>
              <w:rPr>
                <w:rFonts w:hint="eastAsia" w:ascii="宋体" w:hAnsi="宋体" w:eastAsia="宋体" w:cs="宋体"/>
                <w:spacing w:val="-4"/>
                <w:sz w:val="25"/>
                <w:szCs w:val="25"/>
              </w:rPr>
              <w:t>治愈好转率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（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%）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ind w:firstLine="210" w:firstLineChars="100"/>
              <w:jc w:val="center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98</w:t>
            </w:r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ind w:firstLine="210" w:firstLineChars="100"/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97.6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4924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20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3.2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手术前后诊断符合率（%）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ind w:firstLine="210" w:firstLineChars="100"/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ind w:firstLine="210" w:firstLineChars="10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ind w:firstLine="210" w:firstLineChars="100"/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4924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30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2"/>
                <w:sz w:val="25"/>
                <w:szCs w:val="25"/>
              </w:rPr>
              <w:t>3.3</w:t>
            </w:r>
            <w:r>
              <w:rPr>
                <w:rFonts w:hint="eastAsia" w:ascii="宋体" w:hAnsi="宋体" w:eastAsia="宋体" w:cs="宋体"/>
                <w:spacing w:val="-2"/>
                <w:sz w:val="25"/>
                <w:szCs w:val="25"/>
              </w:rPr>
              <w:t>急诊抢救成功率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（%）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ind w:firstLine="210" w:firstLineChars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ind w:firstLine="420" w:firstLineChars="200"/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85.4</w:t>
            </w:r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ind w:firstLine="210" w:firstLineChars="100"/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84.6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4924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30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4"/>
                <w:sz w:val="25"/>
                <w:szCs w:val="25"/>
              </w:rPr>
              <w:t>3.4</w:t>
            </w:r>
            <w:r>
              <w:rPr>
                <w:rFonts w:hint="eastAsia" w:ascii="宋体" w:hAnsi="宋体" w:eastAsia="宋体" w:cs="宋体"/>
                <w:spacing w:val="-4"/>
                <w:sz w:val="25"/>
                <w:szCs w:val="25"/>
              </w:rPr>
              <w:t>抗菌药物使用强度</w:t>
            </w:r>
            <w:r>
              <w:rPr>
                <w:rFonts w:ascii="宋体" w:hAnsi="宋体" w:eastAsia="宋体" w:cs="宋体"/>
                <w:spacing w:val="-4"/>
                <w:sz w:val="25"/>
                <w:szCs w:val="25"/>
              </w:rPr>
              <w:t>(DDs)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39.55</w:t>
            </w:r>
          </w:p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jc w:val="center"/>
            </w:pPr>
          </w:p>
          <w:p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35.09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4924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30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4"/>
                <w:sz w:val="25"/>
                <w:szCs w:val="25"/>
              </w:rPr>
              <w:t>3.5</w:t>
            </w:r>
            <w:r>
              <w:rPr>
                <w:rFonts w:hint="eastAsia" w:ascii="宋体" w:hAnsi="宋体" w:eastAsia="宋体" w:cs="宋体"/>
                <w:spacing w:val="-4"/>
                <w:sz w:val="25"/>
                <w:szCs w:val="25"/>
              </w:rPr>
              <w:t>门诊输液率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（%）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ind w:firstLine="420" w:firstLineChars="200"/>
              <w:rPr>
                <w:rFonts w:hint="default" w:eastAsiaTheme="minorEastAsia"/>
                <w:lang w:val="en-US" w:eastAsia="zh-CN"/>
              </w:rPr>
            </w:pPr>
          </w:p>
          <w:p>
            <w:pPr>
              <w:ind w:firstLine="420" w:firstLineChars="2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1.16</w:t>
            </w:r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ind w:firstLine="420" w:firstLineChars="200"/>
            </w:pPr>
          </w:p>
          <w:p>
            <w:pPr>
              <w:ind w:firstLine="420" w:firstLineChars="200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1.23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4924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20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3.6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无菌手术切口感染率（%）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ind w:firstLine="210" w:firstLineChars="100"/>
              <w:jc w:val="center"/>
              <w:rPr>
                <w:rFonts w:hint="default" w:eastAsiaTheme="minorEastAsia"/>
                <w:lang w:val="en-US" w:eastAsia="zh-CN"/>
              </w:rPr>
            </w:pPr>
          </w:p>
          <w:p>
            <w:pPr>
              <w:ind w:firstLine="210" w:firstLineChars="10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0.22</w:t>
            </w:r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ind w:firstLine="210" w:firstLineChars="100"/>
              <w:jc w:val="center"/>
            </w:pPr>
          </w:p>
          <w:p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4924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tabs>
                <w:tab w:val="left" w:pos="3600"/>
              </w:tabs>
              <w:spacing w:before="130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3.7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住院患者压疮发生率（%）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ind w:firstLine="420" w:firstLineChars="200"/>
              <w:jc w:val="both"/>
              <w:rPr>
                <w:rFonts w:hint="default" w:eastAsiaTheme="minorEastAsia"/>
                <w:lang w:val="en-US" w:eastAsia="zh-CN"/>
              </w:rPr>
            </w:pPr>
          </w:p>
          <w:p>
            <w:pPr>
              <w:ind w:firstLine="420" w:firstLineChars="200"/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0.022</w:t>
            </w:r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ind w:firstLine="210" w:firstLineChars="100"/>
              <w:jc w:val="both"/>
              <w:rPr>
                <w:rFonts w:hint="default" w:eastAsiaTheme="minorEastAsia"/>
                <w:lang w:val="en-US" w:eastAsia="zh-CN"/>
              </w:rPr>
            </w:pPr>
          </w:p>
          <w:p>
            <w:pPr>
              <w:ind w:firstLine="420" w:firstLineChars="200"/>
              <w:jc w:val="both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0.039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4924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20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3"/>
                <w:sz w:val="25"/>
                <w:szCs w:val="25"/>
              </w:rPr>
              <w:t>3.8</w:t>
            </w:r>
            <w:r>
              <w:rPr>
                <w:rFonts w:hint="eastAsia" w:ascii="宋体" w:hAnsi="宋体" w:eastAsia="宋体" w:cs="宋体"/>
                <w:spacing w:val="-3"/>
                <w:sz w:val="25"/>
                <w:szCs w:val="25"/>
              </w:rPr>
              <w:t>出院患者手术占比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（%）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31.75</w:t>
            </w:r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ind w:firstLine="210" w:firstLineChars="100"/>
              <w:jc w:val="center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21.7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1823" w:type="dxa"/>
            <w:vMerge w:val="continue"/>
            <w:tcBorders>
              <w:top w:val="nil"/>
              <w:bottom w:val="single" w:color="000000" w:sz="2" w:space="0"/>
            </w:tcBorders>
          </w:tcPr>
          <w:p/>
        </w:tc>
        <w:tc>
          <w:tcPr>
            <w:tcW w:w="4924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20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3.9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手术患者并发症发生率（%）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ind w:firstLine="210" w:firstLineChars="100"/>
              <w:jc w:val="center"/>
              <w:rPr>
                <w:rFonts w:hint="eastAsia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ind w:firstLine="210" w:firstLineChars="100"/>
              <w:jc w:val="center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>
            <w:pPr>
              <w:ind w:firstLine="210" w:firstLineChars="100"/>
              <w:jc w:val="center"/>
              <w:rPr>
                <w:rFonts w:hint="eastAsia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0</w:t>
            </w:r>
          </w:p>
        </w:tc>
      </w:tr>
    </w:tbl>
    <w:p/>
    <w:p>
      <w:pPr>
        <w:jc w:val="center"/>
        <w:sectPr>
          <w:footerReference r:id="rId3" w:type="default"/>
          <w:pgSz w:w="11900" w:h="16840"/>
          <w:pgMar w:top="1431" w:right="1274" w:bottom="1200" w:left="1445" w:header="0" w:footer="1049" w:gutter="0"/>
          <w:cols w:space="720" w:num="1"/>
        </w:sectPr>
      </w:pPr>
    </w:p>
    <w:p>
      <w:pPr>
        <w:spacing w:line="193" w:lineRule="exact"/>
      </w:pPr>
      <w:bookmarkStart w:id="0" w:name="_GoBack"/>
      <w:bookmarkEnd w:id="0"/>
    </w:p>
    <w:tbl>
      <w:tblPr>
        <w:tblStyle w:val="7"/>
        <w:tblW w:w="915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3"/>
        <w:gridCol w:w="3526"/>
        <w:gridCol w:w="1388"/>
        <w:gridCol w:w="1229"/>
        <w:gridCol w:w="12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803" w:type="dxa"/>
            <w:vMerge w:val="restart"/>
            <w:tcBorders>
              <w:top w:val="single" w:color="000000" w:sz="2" w:space="0"/>
              <w:bottom w:val="nil"/>
            </w:tcBorders>
          </w:tcPr>
          <w:p>
            <w:pPr>
              <w:spacing w:line="245" w:lineRule="auto"/>
            </w:pPr>
          </w:p>
          <w:p>
            <w:pPr>
              <w:spacing w:line="246" w:lineRule="auto"/>
            </w:pPr>
          </w:p>
          <w:p>
            <w:pPr>
              <w:spacing w:line="246" w:lineRule="auto"/>
            </w:pPr>
          </w:p>
          <w:p>
            <w:pPr>
              <w:spacing w:line="246" w:lineRule="auto"/>
            </w:pPr>
          </w:p>
          <w:p>
            <w:pPr>
              <w:spacing w:line="246" w:lineRule="auto"/>
            </w:pPr>
          </w:p>
          <w:p>
            <w:pPr>
              <w:spacing w:line="246" w:lineRule="auto"/>
            </w:pPr>
          </w:p>
          <w:p>
            <w:pPr>
              <w:spacing w:line="246" w:lineRule="auto"/>
            </w:pPr>
          </w:p>
          <w:p>
            <w:pPr>
              <w:spacing w:line="246" w:lineRule="auto"/>
            </w:pPr>
          </w:p>
          <w:p>
            <w:pPr>
              <w:spacing w:before="81" w:line="219" w:lineRule="auto"/>
              <w:ind w:firstLine="10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"/>
                <w:sz w:val="25"/>
                <w:szCs w:val="25"/>
              </w:rPr>
              <w:t>4.运行效率</w:t>
            </w:r>
          </w:p>
        </w:tc>
        <w:tc>
          <w:tcPr>
            <w:tcW w:w="4914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20" w:line="219" w:lineRule="auto"/>
              <w:ind w:firstLine="11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4.1门诊患者平均预约诊疗率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（%）</w:t>
            </w:r>
          </w:p>
        </w:tc>
        <w:tc>
          <w:tcPr>
            <w:tcW w:w="122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jc w:val="center"/>
            </w:pPr>
          </w:p>
          <w:p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0.00</w:t>
            </w:r>
          </w:p>
        </w:tc>
        <w:tc>
          <w:tcPr>
            <w:tcW w:w="120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jc w:val="center"/>
            </w:pPr>
          </w:p>
          <w:p>
            <w:pPr>
              <w:jc w:val="center"/>
              <w:rPr>
                <w:rFonts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803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4914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5" w:line="219" w:lineRule="auto"/>
              <w:ind w:firstLine="11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2"/>
                <w:sz w:val="25"/>
                <w:szCs w:val="25"/>
              </w:rPr>
              <w:t>4.2门诊患者预约后平均等待时间(分钟)</w:t>
            </w:r>
          </w:p>
        </w:tc>
        <w:tc>
          <w:tcPr>
            <w:tcW w:w="122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jc w:val="center"/>
            </w:pPr>
          </w:p>
          <w:p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0.00</w:t>
            </w:r>
          </w:p>
        </w:tc>
        <w:tc>
          <w:tcPr>
            <w:tcW w:w="120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jc w:val="center"/>
            </w:pPr>
          </w:p>
          <w:p>
            <w:pPr>
              <w:jc w:val="center"/>
              <w:rPr>
                <w:rFonts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803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3526" w:type="dxa"/>
            <w:vMerge w:val="restart"/>
            <w:tcBorders>
              <w:top w:val="single" w:color="000000" w:sz="2" w:space="0"/>
              <w:bottom w:val="nil"/>
            </w:tcBorders>
          </w:tcPr>
          <w:p>
            <w:pPr>
              <w:spacing w:line="261" w:lineRule="auto"/>
            </w:pPr>
          </w:p>
          <w:p>
            <w:pPr>
              <w:spacing w:line="261" w:lineRule="auto"/>
            </w:pPr>
          </w:p>
          <w:p>
            <w:pPr>
              <w:spacing w:before="81" w:line="219" w:lineRule="auto"/>
              <w:ind w:firstLine="9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4"/>
                <w:sz w:val="25"/>
                <w:szCs w:val="25"/>
              </w:rPr>
              <w:t>4.3术前待床日(天)</w:t>
            </w:r>
          </w:p>
        </w:tc>
        <w:tc>
          <w:tcPr>
            <w:tcW w:w="138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26" w:line="219" w:lineRule="auto"/>
              <w:ind w:firstLine="18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二级手术</w:t>
            </w:r>
          </w:p>
        </w:tc>
        <w:tc>
          <w:tcPr>
            <w:tcW w:w="122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ind w:firstLine="525" w:firstLineChars="250"/>
              <w:jc w:val="both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>
            <w:pPr>
              <w:ind w:firstLine="525" w:firstLineChars="250"/>
              <w:jc w:val="both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120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ind w:firstLine="525" w:firstLineChars="250"/>
            </w:pPr>
          </w:p>
          <w:p>
            <w:pPr>
              <w:ind w:firstLine="525" w:firstLineChars="250"/>
              <w:rPr>
                <w:rFonts w:hint="eastAsia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803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3526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138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26" w:line="219" w:lineRule="auto"/>
              <w:ind w:firstLine="18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三级手术</w:t>
            </w:r>
          </w:p>
        </w:tc>
        <w:tc>
          <w:tcPr>
            <w:tcW w:w="122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ind w:firstLine="630" w:firstLineChars="300"/>
              <w:jc w:val="both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>
            <w:pPr>
              <w:ind w:firstLine="630" w:firstLineChars="300"/>
              <w:jc w:val="both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120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ind w:firstLine="525" w:firstLineChars="250"/>
              <w:rPr>
                <w:rFonts w:hint="eastAsia"/>
                <w:lang w:val="en-US" w:eastAsia="zh-CN"/>
              </w:rPr>
            </w:pPr>
          </w:p>
          <w:p>
            <w:pPr>
              <w:ind w:firstLine="525" w:firstLineChars="250"/>
              <w:rPr>
                <w:rFonts w:hint="eastAsia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803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3526" w:type="dxa"/>
            <w:vMerge w:val="continue"/>
            <w:tcBorders>
              <w:top w:val="nil"/>
              <w:bottom w:val="single" w:color="000000" w:sz="2" w:space="0"/>
            </w:tcBorders>
          </w:tcPr>
          <w:p/>
        </w:tc>
        <w:tc>
          <w:tcPr>
            <w:tcW w:w="138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6" w:line="219" w:lineRule="auto"/>
              <w:ind w:firstLine="18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四级手术</w:t>
            </w:r>
          </w:p>
        </w:tc>
        <w:tc>
          <w:tcPr>
            <w:tcW w:w="122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ind w:firstLine="525" w:firstLineChars="250"/>
              <w:jc w:val="both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>
            <w:pPr>
              <w:ind w:firstLine="525" w:firstLineChars="250"/>
              <w:jc w:val="both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3</w:t>
            </w:r>
          </w:p>
        </w:tc>
        <w:tc>
          <w:tcPr>
            <w:tcW w:w="120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ind w:firstLine="525" w:firstLineChars="250"/>
              <w:rPr>
                <w:rFonts w:hint="eastAsia"/>
                <w:lang w:val="en-US" w:eastAsia="zh-CN"/>
              </w:rPr>
            </w:pPr>
          </w:p>
          <w:p>
            <w:pPr>
              <w:ind w:firstLine="525" w:firstLineChars="250"/>
              <w:rPr>
                <w:rFonts w:hint="eastAsia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803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4914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7" w:line="219" w:lineRule="auto"/>
              <w:ind w:firstLine="11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4.4病床使用率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（%）</w:t>
            </w:r>
          </w:p>
        </w:tc>
        <w:tc>
          <w:tcPr>
            <w:tcW w:w="122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84.7</w:t>
            </w:r>
          </w:p>
        </w:tc>
        <w:tc>
          <w:tcPr>
            <w:tcW w:w="120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ind w:firstLine="210" w:firstLineChars="100"/>
              <w:jc w:val="center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79.7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803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4914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29" w:line="220" w:lineRule="auto"/>
              <w:ind w:firstLine="11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3"/>
                <w:sz w:val="25"/>
                <w:szCs w:val="25"/>
              </w:rPr>
              <w:t>4.5出院者平均住院日(天)</w:t>
            </w:r>
          </w:p>
        </w:tc>
        <w:tc>
          <w:tcPr>
            <w:tcW w:w="122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ind w:firstLine="525" w:firstLineChars="250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>
            <w:pPr>
              <w:ind w:firstLine="525" w:firstLineChars="250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7.7</w:t>
            </w:r>
          </w:p>
        </w:tc>
        <w:tc>
          <w:tcPr>
            <w:tcW w:w="120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ind w:firstLine="525" w:firstLineChars="250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>
            <w:pPr>
              <w:ind w:firstLine="525" w:firstLineChars="250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7.3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803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4914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8" w:line="219" w:lineRule="auto"/>
              <w:ind w:firstLine="11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2"/>
                <w:sz w:val="25"/>
                <w:szCs w:val="25"/>
              </w:rPr>
              <w:t>4.6门诊人次</w:t>
            </w:r>
          </w:p>
        </w:tc>
        <w:tc>
          <w:tcPr>
            <w:tcW w:w="122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74593</w:t>
            </w:r>
          </w:p>
        </w:tc>
        <w:tc>
          <w:tcPr>
            <w:tcW w:w="120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ind w:firstLine="210" w:firstLineChars="100"/>
              <w:jc w:val="center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79577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03" w:type="dxa"/>
            <w:vMerge w:val="continue"/>
            <w:tcBorders>
              <w:top w:val="nil"/>
              <w:bottom w:val="single" w:color="000000" w:sz="2" w:space="0"/>
            </w:tcBorders>
          </w:tcPr>
          <w:p/>
        </w:tc>
        <w:tc>
          <w:tcPr>
            <w:tcW w:w="4914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9" w:line="219" w:lineRule="auto"/>
              <w:ind w:firstLine="11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2"/>
                <w:sz w:val="25"/>
                <w:szCs w:val="25"/>
              </w:rPr>
              <w:t>4.7出院人次</w:t>
            </w:r>
          </w:p>
        </w:tc>
        <w:tc>
          <w:tcPr>
            <w:tcW w:w="122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4516</w:t>
            </w:r>
          </w:p>
        </w:tc>
        <w:tc>
          <w:tcPr>
            <w:tcW w:w="120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ind w:firstLine="210" w:firstLineChars="100"/>
              <w:jc w:val="center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5109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80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9" w:line="219" w:lineRule="auto"/>
              <w:ind w:firstLine="10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5.患者满意度</w:t>
            </w:r>
          </w:p>
        </w:tc>
        <w:tc>
          <w:tcPr>
            <w:tcW w:w="4914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9" w:line="219" w:lineRule="auto"/>
              <w:ind w:firstLine="11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2"/>
                <w:sz w:val="25"/>
                <w:szCs w:val="25"/>
              </w:rPr>
              <w:t>总体满意度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（%）</w:t>
            </w:r>
          </w:p>
        </w:tc>
        <w:tc>
          <w:tcPr>
            <w:tcW w:w="122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99</w:t>
            </w:r>
          </w:p>
        </w:tc>
        <w:tc>
          <w:tcPr>
            <w:tcW w:w="120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jc w:val="both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99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80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30" w:line="219" w:lineRule="auto"/>
              <w:ind w:firstLine="10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"/>
                <w:sz w:val="25"/>
                <w:szCs w:val="25"/>
              </w:rPr>
              <w:t>6.服务承诺</w:t>
            </w:r>
          </w:p>
        </w:tc>
        <w:tc>
          <w:tcPr>
            <w:tcW w:w="7347" w:type="dxa"/>
            <w:gridSpan w:val="4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28" w:line="219" w:lineRule="auto"/>
              <w:ind w:firstLine="15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z w:val="25"/>
                <w:szCs w:val="25"/>
              </w:rPr>
              <w:t>医疗机构服务承诺内容(见附件3'</w:t>
            </w:r>
            <w:r>
              <w:rPr>
                <w:rFonts w:hint="eastAsia" w:ascii="宋体" w:hAnsi="宋体" w:eastAsia="宋体" w:cs="宋体"/>
                <w:sz w:val="25"/>
                <w:szCs w:val="25"/>
              </w:rPr>
              <w:t>)</w:t>
            </w:r>
          </w:p>
        </w:tc>
      </w:tr>
    </w:tbl>
    <w:p>
      <w:pPr>
        <w:spacing w:before="265" w:line="219" w:lineRule="auto"/>
        <w:rPr>
          <w:rFonts w:hint="eastAsia" w:ascii="楷体" w:hAnsi="楷体" w:cs="楷体"/>
          <w:sz w:val="25"/>
          <w:szCs w:val="25"/>
        </w:rPr>
      </w:pPr>
      <w:r>
        <w:rPr>
          <w:rFonts w:hint="eastAsia" w:ascii="楷体" w:hAnsi="楷体" w:cs="楷体"/>
          <w:sz w:val="25"/>
          <w:szCs w:val="25"/>
        </w:rPr>
        <w:t>上报人：刘慧敏18355457822 审核人：张有松  13905646001</w:t>
      </w:r>
      <w:r>
        <w:rPr>
          <w:rFonts w:hint="eastAsia" w:ascii="楷体" w:hAnsi="楷体" w:cs="楷体"/>
          <w:sz w:val="25"/>
          <w:szCs w:val="25"/>
        </w:rPr>
        <w:tab/>
      </w:r>
      <w:r>
        <w:rPr>
          <w:rFonts w:hint="eastAsia" w:ascii="楷体" w:hAnsi="楷体" w:cs="楷体"/>
          <w:sz w:val="25"/>
          <w:szCs w:val="25"/>
        </w:rPr>
        <w:tab/>
      </w:r>
      <w:r>
        <w:rPr>
          <w:rFonts w:hint="eastAsia" w:ascii="楷体" w:hAnsi="楷体" w:cs="楷体"/>
          <w:sz w:val="25"/>
          <w:szCs w:val="25"/>
        </w:rPr>
        <w:tab/>
      </w:r>
      <w:r>
        <w:rPr>
          <w:rFonts w:hint="eastAsia" w:ascii="楷体" w:hAnsi="楷体" w:cs="楷体"/>
          <w:sz w:val="25"/>
          <w:szCs w:val="25"/>
        </w:rPr>
        <w:tab/>
      </w:r>
      <w:r>
        <w:rPr>
          <w:rFonts w:hint="eastAsia" w:ascii="楷体" w:hAnsi="楷体" w:cs="楷体"/>
          <w:sz w:val="25"/>
          <w:szCs w:val="25"/>
        </w:rPr>
        <w:tab/>
      </w:r>
    </w:p>
    <w:sectPr>
      <w:footerReference r:id="rId4" w:type="default"/>
      <w:pgSz w:w="11900" w:h="16840"/>
      <w:pgMar w:top="1431" w:right="1425" w:bottom="1267" w:left="1524" w:header="0" w:footer="11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50" w:lineRule="exact"/>
      <w:ind w:firstLine="174"/>
      <w:rPr>
        <w:rFonts w:ascii="仿宋" w:hAnsi="仿宋" w:eastAsia="仿宋" w:cs="仿宋"/>
        <w:sz w:val="22"/>
        <w:szCs w:val="22"/>
      </w:rPr>
    </w:pPr>
    <w:r>
      <w:rPr>
        <w:rFonts w:ascii="仿宋" w:hAnsi="仿宋" w:eastAsia="仿宋" w:cs="仿宋"/>
        <w:spacing w:val="-1"/>
        <w:position w:val="-3"/>
        <w:sz w:val="22"/>
        <w:szCs w:val="22"/>
      </w:rPr>
      <w:t>──4──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64" w:lineRule="exact"/>
      <w:ind w:firstLine="165"/>
      <w:rPr>
        <w:rFonts w:ascii="黑体" w:hAnsi="黑体" w:eastAsia="黑体" w:cs="黑体"/>
        <w:sz w:val="37"/>
        <w:szCs w:val="37"/>
      </w:rPr>
    </w:pPr>
    <w:r>
      <w:rPr>
        <w:rFonts w:ascii="黑体" w:hAnsi="黑体" w:eastAsia="黑体" w:cs="黑体"/>
        <w:spacing w:val="-1"/>
        <w:position w:val="-5"/>
        <w:sz w:val="37"/>
        <w:szCs w:val="37"/>
      </w:rPr>
      <w:t>─20─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2"/>
  </w:compat>
  <w:docVars>
    <w:docVar w:name="commondata" w:val="eyJoZGlkIjoiOWIyN2ZkY2RlNzk4YWY5ZmM3YjIzNjdmMGNiYWI5NTAifQ=="/>
  </w:docVars>
  <w:rsids>
    <w:rsidRoot w:val="00B121FE"/>
    <w:rsid w:val="000172C6"/>
    <w:rsid w:val="0005176A"/>
    <w:rsid w:val="00075799"/>
    <w:rsid w:val="000B6D09"/>
    <w:rsid w:val="000E5277"/>
    <w:rsid w:val="00104CA5"/>
    <w:rsid w:val="00106BC2"/>
    <w:rsid w:val="0013748A"/>
    <w:rsid w:val="00151F53"/>
    <w:rsid w:val="00156AE3"/>
    <w:rsid w:val="00171E2A"/>
    <w:rsid w:val="00177B21"/>
    <w:rsid w:val="001B2493"/>
    <w:rsid w:val="001C211A"/>
    <w:rsid w:val="001C5F80"/>
    <w:rsid w:val="00211B0C"/>
    <w:rsid w:val="00230FC9"/>
    <w:rsid w:val="00235C84"/>
    <w:rsid w:val="002445FB"/>
    <w:rsid w:val="00270F56"/>
    <w:rsid w:val="002B099E"/>
    <w:rsid w:val="002C5A5E"/>
    <w:rsid w:val="002E5D88"/>
    <w:rsid w:val="00303980"/>
    <w:rsid w:val="00315415"/>
    <w:rsid w:val="0037555C"/>
    <w:rsid w:val="00390CF4"/>
    <w:rsid w:val="003920CA"/>
    <w:rsid w:val="0039320D"/>
    <w:rsid w:val="003B56E7"/>
    <w:rsid w:val="003C152A"/>
    <w:rsid w:val="003D19B6"/>
    <w:rsid w:val="004636A7"/>
    <w:rsid w:val="004642E5"/>
    <w:rsid w:val="00464853"/>
    <w:rsid w:val="004C0FFE"/>
    <w:rsid w:val="004E37C4"/>
    <w:rsid w:val="00556790"/>
    <w:rsid w:val="005773A6"/>
    <w:rsid w:val="005A35D9"/>
    <w:rsid w:val="005B555A"/>
    <w:rsid w:val="005C02E8"/>
    <w:rsid w:val="005E74B1"/>
    <w:rsid w:val="006267ED"/>
    <w:rsid w:val="00664CBA"/>
    <w:rsid w:val="006B51AF"/>
    <w:rsid w:val="006F63A0"/>
    <w:rsid w:val="007036CB"/>
    <w:rsid w:val="0071512D"/>
    <w:rsid w:val="007163EB"/>
    <w:rsid w:val="00733EA2"/>
    <w:rsid w:val="00750E6B"/>
    <w:rsid w:val="007537DC"/>
    <w:rsid w:val="007823F3"/>
    <w:rsid w:val="007A51BF"/>
    <w:rsid w:val="007C5C07"/>
    <w:rsid w:val="007C5E99"/>
    <w:rsid w:val="007C679D"/>
    <w:rsid w:val="007F2457"/>
    <w:rsid w:val="0083291F"/>
    <w:rsid w:val="008760F7"/>
    <w:rsid w:val="008D29B1"/>
    <w:rsid w:val="008D7A8C"/>
    <w:rsid w:val="008E31C2"/>
    <w:rsid w:val="00920678"/>
    <w:rsid w:val="00977706"/>
    <w:rsid w:val="009A0E30"/>
    <w:rsid w:val="009B1E6E"/>
    <w:rsid w:val="009B52C7"/>
    <w:rsid w:val="009D0B6A"/>
    <w:rsid w:val="00A3771D"/>
    <w:rsid w:val="00A41613"/>
    <w:rsid w:val="00A9456A"/>
    <w:rsid w:val="00A96C11"/>
    <w:rsid w:val="00AE3422"/>
    <w:rsid w:val="00AE6C9C"/>
    <w:rsid w:val="00B02192"/>
    <w:rsid w:val="00B121FE"/>
    <w:rsid w:val="00B173C6"/>
    <w:rsid w:val="00B21C8A"/>
    <w:rsid w:val="00B24A04"/>
    <w:rsid w:val="00B2715B"/>
    <w:rsid w:val="00B53412"/>
    <w:rsid w:val="00B60CB2"/>
    <w:rsid w:val="00B63C9E"/>
    <w:rsid w:val="00B90EF9"/>
    <w:rsid w:val="00BA3524"/>
    <w:rsid w:val="00BB1F63"/>
    <w:rsid w:val="00BF5688"/>
    <w:rsid w:val="00C01F0B"/>
    <w:rsid w:val="00C04B41"/>
    <w:rsid w:val="00C07AC8"/>
    <w:rsid w:val="00C22BC0"/>
    <w:rsid w:val="00C63E2F"/>
    <w:rsid w:val="00C96969"/>
    <w:rsid w:val="00CB2E5A"/>
    <w:rsid w:val="00CB441A"/>
    <w:rsid w:val="00CC52F2"/>
    <w:rsid w:val="00CD236F"/>
    <w:rsid w:val="00CD3294"/>
    <w:rsid w:val="00CF23E8"/>
    <w:rsid w:val="00CF788D"/>
    <w:rsid w:val="00D0332F"/>
    <w:rsid w:val="00D35F64"/>
    <w:rsid w:val="00D40B38"/>
    <w:rsid w:val="00D572BA"/>
    <w:rsid w:val="00D64C62"/>
    <w:rsid w:val="00DB177A"/>
    <w:rsid w:val="00DC083C"/>
    <w:rsid w:val="00DC38B5"/>
    <w:rsid w:val="00DC6B91"/>
    <w:rsid w:val="00DD380A"/>
    <w:rsid w:val="00E04D47"/>
    <w:rsid w:val="00E35655"/>
    <w:rsid w:val="00E55E2B"/>
    <w:rsid w:val="00E62677"/>
    <w:rsid w:val="00E75FFB"/>
    <w:rsid w:val="00E94A3F"/>
    <w:rsid w:val="00EF4B19"/>
    <w:rsid w:val="00EF5C8A"/>
    <w:rsid w:val="00F32DB8"/>
    <w:rsid w:val="00F5145E"/>
    <w:rsid w:val="00F65147"/>
    <w:rsid w:val="00F7712C"/>
    <w:rsid w:val="00F7729A"/>
    <w:rsid w:val="00F77DB0"/>
    <w:rsid w:val="00F83953"/>
    <w:rsid w:val="00F858B6"/>
    <w:rsid w:val="00F97C34"/>
    <w:rsid w:val="00FB7F79"/>
    <w:rsid w:val="00FD53DF"/>
    <w:rsid w:val="0156352C"/>
    <w:rsid w:val="01661C3C"/>
    <w:rsid w:val="01B3097E"/>
    <w:rsid w:val="01B34E22"/>
    <w:rsid w:val="02551A35"/>
    <w:rsid w:val="027C16B8"/>
    <w:rsid w:val="02BC3862"/>
    <w:rsid w:val="03FE7EAB"/>
    <w:rsid w:val="05D84E57"/>
    <w:rsid w:val="06336531"/>
    <w:rsid w:val="0687062B"/>
    <w:rsid w:val="070E2AFA"/>
    <w:rsid w:val="07BE1E2B"/>
    <w:rsid w:val="07E07FF3"/>
    <w:rsid w:val="081D2FF5"/>
    <w:rsid w:val="08F33D56"/>
    <w:rsid w:val="0ACB4F8A"/>
    <w:rsid w:val="0AE147AE"/>
    <w:rsid w:val="0AF142C5"/>
    <w:rsid w:val="0B9811CF"/>
    <w:rsid w:val="0BAA1044"/>
    <w:rsid w:val="0BC65752"/>
    <w:rsid w:val="0C0F6BDE"/>
    <w:rsid w:val="0C803B53"/>
    <w:rsid w:val="0CFE2CC9"/>
    <w:rsid w:val="0D6B65B1"/>
    <w:rsid w:val="0D6C2329"/>
    <w:rsid w:val="0D86163D"/>
    <w:rsid w:val="0E3F3599"/>
    <w:rsid w:val="0E5232CD"/>
    <w:rsid w:val="0E801E05"/>
    <w:rsid w:val="0E855450"/>
    <w:rsid w:val="0FD0094D"/>
    <w:rsid w:val="100625C1"/>
    <w:rsid w:val="100E1475"/>
    <w:rsid w:val="10AB4F16"/>
    <w:rsid w:val="10C20BDE"/>
    <w:rsid w:val="115E286C"/>
    <w:rsid w:val="155E69FB"/>
    <w:rsid w:val="171E4694"/>
    <w:rsid w:val="17326391"/>
    <w:rsid w:val="17A10E21"/>
    <w:rsid w:val="17AB35CE"/>
    <w:rsid w:val="18DF7E53"/>
    <w:rsid w:val="19185113"/>
    <w:rsid w:val="1A085187"/>
    <w:rsid w:val="1A554870"/>
    <w:rsid w:val="1BF8668B"/>
    <w:rsid w:val="1C073948"/>
    <w:rsid w:val="1C962F1E"/>
    <w:rsid w:val="1D9751A0"/>
    <w:rsid w:val="1DA13929"/>
    <w:rsid w:val="1E766B63"/>
    <w:rsid w:val="1ECF5B11"/>
    <w:rsid w:val="1F1433F0"/>
    <w:rsid w:val="1FB65DB1"/>
    <w:rsid w:val="200F101E"/>
    <w:rsid w:val="20692E24"/>
    <w:rsid w:val="206F5F60"/>
    <w:rsid w:val="208358CC"/>
    <w:rsid w:val="210C40E7"/>
    <w:rsid w:val="21737798"/>
    <w:rsid w:val="21820906"/>
    <w:rsid w:val="2190618E"/>
    <w:rsid w:val="23381A63"/>
    <w:rsid w:val="246A53BC"/>
    <w:rsid w:val="25461985"/>
    <w:rsid w:val="2547208B"/>
    <w:rsid w:val="25D36F91"/>
    <w:rsid w:val="265E5ACC"/>
    <w:rsid w:val="26EA00EF"/>
    <w:rsid w:val="27802801"/>
    <w:rsid w:val="279A7D67"/>
    <w:rsid w:val="27DC037F"/>
    <w:rsid w:val="287A36F4"/>
    <w:rsid w:val="28EC2844"/>
    <w:rsid w:val="293D6BFB"/>
    <w:rsid w:val="298F1421"/>
    <w:rsid w:val="299D58EC"/>
    <w:rsid w:val="29B175E9"/>
    <w:rsid w:val="29D94E19"/>
    <w:rsid w:val="2A913381"/>
    <w:rsid w:val="2BC03B14"/>
    <w:rsid w:val="2BF33EE9"/>
    <w:rsid w:val="2CF511D6"/>
    <w:rsid w:val="2D96390B"/>
    <w:rsid w:val="2E026666"/>
    <w:rsid w:val="2E2B796A"/>
    <w:rsid w:val="2EA25753"/>
    <w:rsid w:val="2ED27DE6"/>
    <w:rsid w:val="2FCD1C26"/>
    <w:rsid w:val="309F1C4E"/>
    <w:rsid w:val="30E738F1"/>
    <w:rsid w:val="31957C8D"/>
    <w:rsid w:val="319E48F7"/>
    <w:rsid w:val="321B1AA4"/>
    <w:rsid w:val="32367D6D"/>
    <w:rsid w:val="323A44C9"/>
    <w:rsid w:val="32550915"/>
    <w:rsid w:val="328533C1"/>
    <w:rsid w:val="32E427DE"/>
    <w:rsid w:val="32F6606D"/>
    <w:rsid w:val="333C43C8"/>
    <w:rsid w:val="34802092"/>
    <w:rsid w:val="348C0A37"/>
    <w:rsid w:val="34A55F9D"/>
    <w:rsid w:val="359D0A22"/>
    <w:rsid w:val="3751377B"/>
    <w:rsid w:val="3801173C"/>
    <w:rsid w:val="380F5C07"/>
    <w:rsid w:val="38CA7D80"/>
    <w:rsid w:val="38CE730F"/>
    <w:rsid w:val="38D66725"/>
    <w:rsid w:val="397F0B6A"/>
    <w:rsid w:val="39997C2F"/>
    <w:rsid w:val="39F07CBA"/>
    <w:rsid w:val="3B4D02E3"/>
    <w:rsid w:val="3B844B5E"/>
    <w:rsid w:val="3BC44775"/>
    <w:rsid w:val="3BDF1D94"/>
    <w:rsid w:val="3C4A1903"/>
    <w:rsid w:val="3CEC29BB"/>
    <w:rsid w:val="3D073351"/>
    <w:rsid w:val="3D29776B"/>
    <w:rsid w:val="3DC2371B"/>
    <w:rsid w:val="3E412892"/>
    <w:rsid w:val="3E430D41"/>
    <w:rsid w:val="3E864749"/>
    <w:rsid w:val="3F1B7587"/>
    <w:rsid w:val="3F6B7534"/>
    <w:rsid w:val="3FB928FC"/>
    <w:rsid w:val="401A339B"/>
    <w:rsid w:val="40202501"/>
    <w:rsid w:val="404E573A"/>
    <w:rsid w:val="40B97058"/>
    <w:rsid w:val="411424E0"/>
    <w:rsid w:val="41436921"/>
    <w:rsid w:val="42703746"/>
    <w:rsid w:val="433B01F8"/>
    <w:rsid w:val="440E3217"/>
    <w:rsid w:val="446C618F"/>
    <w:rsid w:val="44CE6E4A"/>
    <w:rsid w:val="451F3201"/>
    <w:rsid w:val="45EA7CB3"/>
    <w:rsid w:val="46386C71"/>
    <w:rsid w:val="4691012F"/>
    <w:rsid w:val="46DB7B52"/>
    <w:rsid w:val="477C0DDF"/>
    <w:rsid w:val="4909256D"/>
    <w:rsid w:val="494F5544"/>
    <w:rsid w:val="4AF018C8"/>
    <w:rsid w:val="4B005883"/>
    <w:rsid w:val="4B2E0642"/>
    <w:rsid w:val="4B9277D5"/>
    <w:rsid w:val="4BCD39B7"/>
    <w:rsid w:val="4C12586E"/>
    <w:rsid w:val="4C343A36"/>
    <w:rsid w:val="4C8D1398"/>
    <w:rsid w:val="4C9E5354"/>
    <w:rsid w:val="4CAE66B9"/>
    <w:rsid w:val="4CD40D75"/>
    <w:rsid w:val="4E217FEA"/>
    <w:rsid w:val="4EE12583"/>
    <w:rsid w:val="4F4026F2"/>
    <w:rsid w:val="4F786330"/>
    <w:rsid w:val="505226DD"/>
    <w:rsid w:val="514A7858"/>
    <w:rsid w:val="52AA2CA4"/>
    <w:rsid w:val="52AB4326"/>
    <w:rsid w:val="53185698"/>
    <w:rsid w:val="53E73A84"/>
    <w:rsid w:val="556B3D6E"/>
    <w:rsid w:val="558C6691"/>
    <w:rsid w:val="56F75D8C"/>
    <w:rsid w:val="57583BEC"/>
    <w:rsid w:val="577B076B"/>
    <w:rsid w:val="57B343A9"/>
    <w:rsid w:val="58711B6E"/>
    <w:rsid w:val="59633BAD"/>
    <w:rsid w:val="597E4543"/>
    <w:rsid w:val="59A57D21"/>
    <w:rsid w:val="5A027E85"/>
    <w:rsid w:val="5ABD109B"/>
    <w:rsid w:val="5AE12FDB"/>
    <w:rsid w:val="5B647768"/>
    <w:rsid w:val="5B6634E0"/>
    <w:rsid w:val="5BA82375"/>
    <w:rsid w:val="5BE82147"/>
    <w:rsid w:val="5C270EC2"/>
    <w:rsid w:val="5E580EA3"/>
    <w:rsid w:val="5F3202A9"/>
    <w:rsid w:val="602B6AA7"/>
    <w:rsid w:val="61655B26"/>
    <w:rsid w:val="623954AB"/>
    <w:rsid w:val="62A36DC8"/>
    <w:rsid w:val="62AC533F"/>
    <w:rsid w:val="62C27B96"/>
    <w:rsid w:val="64D836A1"/>
    <w:rsid w:val="67C73559"/>
    <w:rsid w:val="67CB7455"/>
    <w:rsid w:val="67D6379C"/>
    <w:rsid w:val="68466B73"/>
    <w:rsid w:val="684B5F38"/>
    <w:rsid w:val="696F2C27"/>
    <w:rsid w:val="6A674B7F"/>
    <w:rsid w:val="6A6B0B13"/>
    <w:rsid w:val="6B543355"/>
    <w:rsid w:val="6B6317EA"/>
    <w:rsid w:val="6BCE3108"/>
    <w:rsid w:val="6C2E1DF8"/>
    <w:rsid w:val="6CA06658"/>
    <w:rsid w:val="6E62222D"/>
    <w:rsid w:val="6EFF7A7C"/>
    <w:rsid w:val="6F235519"/>
    <w:rsid w:val="6F614293"/>
    <w:rsid w:val="70811AD5"/>
    <w:rsid w:val="71245578"/>
    <w:rsid w:val="71B20DD6"/>
    <w:rsid w:val="72897D89"/>
    <w:rsid w:val="729130E1"/>
    <w:rsid w:val="73FC27DC"/>
    <w:rsid w:val="74024296"/>
    <w:rsid w:val="752E10BB"/>
    <w:rsid w:val="752E4C17"/>
    <w:rsid w:val="75A373B3"/>
    <w:rsid w:val="774E334F"/>
    <w:rsid w:val="77F35CA4"/>
    <w:rsid w:val="781A1483"/>
    <w:rsid w:val="78811502"/>
    <w:rsid w:val="78BB5DC5"/>
    <w:rsid w:val="79894B12"/>
    <w:rsid w:val="7A083C89"/>
    <w:rsid w:val="7A24483B"/>
    <w:rsid w:val="7A252A8D"/>
    <w:rsid w:val="7A3507F6"/>
    <w:rsid w:val="7A3727C0"/>
    <w:rsid w:val="7B0332E0"/>
    <w:rsid w:val="7B330B7E"/>
    <w:rsid w:val="7B5829EE"/>
    <w:rsid w:val="7BC2430B"/>
    <w:rsid w:val="7CAF4890"/>
    <w:rsid w:val="7CE13F39"/>
    <w:rsid w:val="7DDA2B39"/>
    <w:rsid w:val="7DDD367E"/>
    <w:rsid w:val="7F160BF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cs="Arial" w:eastAsiaTheme="minorEastAsia"/>
      <w:snapToGrid w:val="0"/>
      <w:color w:val="000000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批注框文本 Char"/>
    <w:basedOn w:val="6"/>
    <w:link w:val="2"/>
    <w:autoRedefine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130</Words>
  <Characters>747</Characters>
  <Lines>6</Lines>
  <Paragraphs>1</Paragraphs>
  <TotalTime>209</TotalTime>
  <ScaleCrop>false</ScaleCrop>
  <LinksUpToDate>false</LinksUpToDate>
  <CharactersWithSpaces>876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2022-10-09T01:25:00Z</dcterms:created>
  <dc:creator>Kingsoft-PDF</dc:creator>
  <cp:keywords>6279bf94331870001561a163</cp:keywords>
  <cp:lastModifiedBy>慧敏</cp:lastModifiedBy>
  <cp:lastPrinted>2024-01-10T01:47:00Z</cp:lastPrinted>
  <dcterms:modified xsi:type="dcterms:W3CDTF">2024-07-15T01:52:43Z</dcterms:modified>
  <dc:subject>pdfbuilder</dc:subject>
  <cp:revision>425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wqlLaW5nc29mdCBQREYgdG8gV1BTIDcw</vt:lpwstr>
  </property>
  <property fmtid="{D5CDD505-2E9C-101B-9397-08002B2CF9AE}" pid="3" name="Created">
    <vt:filetime>2022-05-10T09:28:43Z</vt:filetime>
  </property>
  <property fmtid="{D5CDD505-2E9C-101B-9397-08002B2CF9AE}" pid="4" name="KSOProductBuildVer">
    <vt:lpwstr>2052-12.1.0.16399</vt:lpwstr>
  </property>
  <property fmtid="{D5CDD505-2E9C-101B-9397-08002B2CF9AE}" pid="5" name="ICV">
    <vt:lpwstr>641298C8048C4DBA95DEDDCADDBA5389_12</vt:lpwstr>
  </property>
</Properties>
</file>